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FACTURA</w:t>
      </w:r>
    </w:p>
    <w:p>
      <w:pPr/>
      <w:r>
        <w:rPr>
          <w:color w:val="6A5F59"/>
        </w:rPr>
        <w:t xml:space="preserve">Número de factura: </w:t>
      </w:r>
    </w:p>
    <w:p>
      <w:pPr/>
      <w:r>
        <w:rPr>
          <w:color w:val="6A5F59"/>
        </w:rPr>
        <w:t xml:space="preserve">Fecha: </w:t>
      </w:r>
    </w:p>
    <w:p>
      <w:pPr/>
      <w:r>
        <w:rPr>
          <w:color w:val="6A5F59"/>
        </w:rPr>
        <w:t xml:space="preserve">Vencimiento: </w:t>
      </w:r>
    </w:p>
    <w:p>
      <w:pPr>
        <w:spacing w:before="240"/>
      </w:pPr>
      <w:r>
        <w:rPr>
          <w:b/>
        </w:rPr>
        <w:t xml:space="preserve">De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Facturar 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Código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Descripción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Cantidad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Precio unitario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Importe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Subtotal: </w:t>
      </w:r>
    </w:p>
    <w:p>
      <w:pPr/>
      <w:r>
        <w:rPr/>
        <w:t xml:space="preserve">Impuesto: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Datos de pago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Notas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